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18B80" w14:textId="1DB4997D" w:rsidR="006C0056" w:rsidRPr="005339DB" w:rsidRDefault="006C0056" w:rsidP="006C0056">
      <w:pPr>
        <w:bidi/>
        <w:rPr>
          <w:rFonts w:asciiTheme="minorBidi" w:hAnsiTheme="minorBidi"/>
        </w:rPr>
      </w:pPr>
      <w:r w:rsidRPr="005339DB">
        <w:rPr>
          <w:rFonts w:asciiTheme="minorBidi" w:hAnsiTheme="minorBidi" w:cs="Arial"/>
          <w:rtl/>
        </w:rPr>
        <w:t>بيان صحفي رقم 39/2024</w:t>
      </w:r>
    </w:p>
    <w:p w14:paraId="2AA18EFC" w14:textId="77777777" w:rsidR="006C0056" w:rsidRPr="006C0056" w:rsidRDefault="006C0056" w:rsidP="006C0056">
      <w:pPr>
        <w:bidi/>
        <w:rPr>
          <w:rFonts w:asciiTheme="minorBidi" w:hAnsiTheme="minorBidi"/>
          <w:b/>
          <w:bCs/>
        </w:rPr>
      </w:pPr>
    </w:p>
    <w:p w14:paraId="2C8A3C08" w14:textId="612ACD01" w:rsidR="006C0056" w:rsidRPr="006C0056" w:rsidRDefault="006C0056" w:rsidP="006C0056">
      <w:pPr>
        <w:bidi/>
        <w:rPr>
          <w:rFonts w:asciiTheme="minorBidi" w:hAnsiTheme="minorBidi"/>
          <w:b/>
          <w:bCs/>
        </w:rPr>
      </w:pPr>
      <w:r w:rsidRPr="006C0056">
        <w:rPr>
          <w:rFonts w:asciiTheme="minorBidi" w:hAnsiTheme="minorBidi" w:cs="Arial"/>
          <w:b/>
          <w:bCs/>
          <w:rtl/>
        </w:rPr>
        <w:t>نجاح الزراعة 4.0: حجم مبيعات 2.3 مليار للشركات الذكية في عام 2024</w:t>
      </w:r>
    </w:p>
    <w:p w14:paraId="6842D47E" w14:textId="7BDB2B4B" w:rsidR="003932CA" w:rsidRDefault="006C0056" w:rsidP="006C0056">
      <w:pPr>
        <w:bidi/>
        <w:rPr>
          <w:rFonts w:asciiTheme="minorBidi" w:hAnsiTheme="minorBidi" w:cs="Arial"/>
          <w:b/>
          <w:bCs/>
          <w:rtl/>
        </w:rPr>
      </w:pPr>
      <w:r w:rsidRPr="006C0056">
        <w:rPr>
          <w:rFonts w:asciiTheme="minorBidi" w:hAnsiTheme="minorBidi" w:cs="Arial"/>
          <w:b/>
          <w:bCs/>
          <w:rtl/>
        </w:rPr>
        <w:t xml:space="preserve">في غضون ست سنوات، غزت الشركات الزراعية الإيطالية 4.0 المزيد والمزيد من المساحة، وحققت مبيعات قدرها 2.3 مليار دولار. في اليوم الثاني من معرض </w:t>
      </w:r>
      <w:r w:rsidRPr="006C0056">
        <w:rPr>
          <w:rFonts w:asciiTheme="minorBidi" w:hAnsiTheme="minorBidi"/>
          <w:b/>
          <w:bCs/>
        </w:rPr>
        <w:t>EIMA</w:t>
      </w:r>
      <w:r w:rsidRPr="006C0056">
        <w:rPr>
          <w:rFonts w:asciiTheme="minorBidi" w:hAnsiTheme="minorBidi" w:cs="Arial"/>
          <w:b/>
          <w:bCs/>
          <w:rtl/>
        </w:rPr>
        <w:t xml:space="preserve"> الدولي، المعرض العالمي للآلات الزراعية والبستنة، تم تقديم تحليل مرصد </w:t>
      </w:r>
      <w:r w:rsidRPr="006C0056">
        <w:rPr>
          <w:rFonts w:asciiTheme="minorBidi" w:hAnsiTheme="minorBidi"/>
          <w:b/>
          <w:bCs/>
        </w:rPr>
        <w:t>Smart Agrifood</w:t>
      </w:r>
      <w:r w:rsidRPr="006C0056">
        <w:rPr>
          <w:rFonts w:asciiTheme="minorBidi" w:hAnsiTheme="minorBidi" w:cs="Arial"/>
          <w:b/>
          <w:bCs/>
          <w:rtl/>
        </w:rPr>
        <w:t xml:space="preserve"> التابع ل</w:t>
      </w:r>
      <w:r w:rsidRPr="006C0056">
        <w:t xml:space="preserve"> </w:t>
      </w:r>
      <w:r w:rsidRPr="006C0056">
        <w:rPr>
          <w:rFonts w:asciiTheme="minorBidi" w:hAnsiTheme="minorBidi" w:cs="Arial"/>
          <w:b/>
          <w:bCs/>
        </w:rPr>
        <w:t>Politecnico di Milano</w:t>
      </w:r>
      <w:r w:rsidRPr="006C0056">
        <w:rPr>
          <w:rFonts w:asciiTheme="minorBidi" w:hAnsiTheme="minorBidi" w:cs="Arial"/>
          <w:b/>
          <w:bCs/>
          <w:rtl/>
        </w:rPr>
        <w:t>.</w:t>
      </w:r>
    </w:p>
    <w:p w14:paraId="48F6FE75" w14:textId="288C3336" w:rsidR="006C0056" w:rsidRPr="006C0056" w:rsidRDefault="006C0056" w:rsidP="006C0056">
      <w:pPr>
        <w:bidi/>
        <w:rPr>
          <w:rFonts w:asciiTheme="minorBidi" w:hAnsiTheme="minorBidi"/>
        </w:rPr>
      </w:pPr>
      <w:r w:rsidRPr="006C0056">
        <w:rPr>
          <w:rFonts w:asciiTheme="minorBidi" w:hAnsiTheme="minorBidi" w:cs="Arial"/>
          <w:rtl/>
        </w:rPr>
        <w:t xml:space="preserve">في غضون ست سنوات فقط، من عام 2017 إلى عام 2023، قطعت الزراعة 4.0 في إيطاليا خطوات عملاقة. في عام 2017، بلغ حجم مبيعات الشركات الرقمية 100 مليون يورو، وفي العام الماضي وصلت إلى 2.3 مليار. نمو السوق مدعوم بالزيادة المستمرة في عدد الشركات التي ابتكرت بمنظور 4.0 والتي وصلت في عام 2024 إلى عتبة 400 وحدة. ويأتي التحليل من مرصد </w:t>
      </w:r>
      <w:r w:rsidRPr="006C0056">
        <w:rPr>
          <w:rFonts w:asciiTheme="minorBidi" w:hAnsiTheme="minorBidi"/>
        </w:rPr>
        <w:t>Smart Agrifood</w:t>
      </w:r>
      <w:r w:rsidRPr="006C0056">
        <w:rPr>
          <w:rFonts w:asciiTheme="minorBidi" w:hAnsiTheme="minorBidi" w:cs="Arial"/>
          <w:rtl/>
        </w:rPr>
        <w:t xml:space="preserve"> التابع ل</w:t>
      </w:r>
      <w:r w:rsidRPr="006C0056">
        <w:rPr>
          <w:rFonts w:asciiTheme="minorBidi" w:hAnsiTheme="minorBidi" w:cs="Arial"/>
          <w:b/>
          <w:bCs/>
        </w:rPr>
        <w:t xml:space="preserve"> </w:t>
      </w:r>
      <w:r w:rsidRPr="006C0056">
        <w:rPr>
          <w:rFonts w:asciiTheme="minorBidi" w:hAnsiTheme="minorBidi" w:cs="Arial"/>
        </w:rPr>
        <w:t>Politecnico di Milan</w:t>
      </w:r>
      <w:r w:rsidRPr="006C0056">
        <w:rPr>
          <w:rFonts w:asciiTheme="minorBidi" w:hAnsiTheme="minorBidi" w:cs="Arial"/>
          <w:b/>
          <w:bCs/>
        </w:rPr>
        <w:t>o</w:t>
      </w:r>
      <w:r w:rsidRPr="006C0056">
        <w:rPr>
          <w:rFonts w:asciiTheme="minorBidi" w:hAnsiTheme="minorBidi" w:cs="Arial"/>
          <w:rtl/>
        </w:rPr>
        <w:t xml:space="preserve"> وتم تقديمه في الدورة السادسة والأربعين لمعرض </w:t>
      </w:r>
      <w:r w:rsidRPr="006C0056">
        <w:rPr>
          <w:rFonts w:asciiTheme="minorBidi" w:hAnsiTheme="minorBidi"/>
        </w:rPr>
        <w:t>Eima</w:t>
      </w:r>
      <w:r w:rsidRPr="006C0056">
        <w:rPr>
          <w:rFonts w:asciiTheme="minorBidi" w:hAnsiTheme="minorBidi" w:cs="Arial"/>
          <w:rtl/>
        </w:rPr>
        <w:t xml:space="preserve"> الدولي للآلات الزراعية والبستنة، الذي يقام في أجنحة </w:t>
      </w:r>
      <w:r w:rsidRPr="006C0056">
        <w:rPr>
          <w:rFonts w:asciiTheme="minorBidi" w:hAnsiTheme="minorBidi"/>
        </w:rPr>
        <w:t>BolognaFiere</w:t>
      </w:r>
      <w:r w:rsidRPr="006C0056">
        <w:rPr>
          <w:rFonts w:asciiTheme="minorBidi" w:hAnsiTheme="minorBidi" w:cs="Arial"/>
          <w:rtl/>
        </w:rPr>
        <w:t>.</w:t>
      </w:r>
    </w:p>
    <w:p w14:paraId="468C9EE7" w14:textId="4DF05FB0" w:rsidR="006C0056" w:rsidRPr="006C0056" w:rsidRDefault="006C0056" w:rsidP="006C0056">
      <w:pPr>
        <w:bidi/>
        <w:rPr>
          <w:rFonts w:asciiTheme="minorBidi" w:hAnsiTheme="minorBidi"/>
        </w:rPr>
      </w:pPr>
      <w:r w:rsidRPr="006C0056">
        <w:rPr>
          <w:rFonts w:asciiTheme="minorBidi" w:hAnsiTheme="minorBidi" w:cs="Arial"/>
          <w:rtl/>
        </w:rPr>
        <w:t xml:space="preserve">ويتعلق أكثر من 60% من الحلول التي تقدمها الشركات بالتحكم عن بعد ومراقبة المحاصيل والأراضي، فضلاً عن تقنيات دعم القرار. وتتمثل 75% من الابتكارات في أنظمة جمع البيانات واستغلالها، و59% في حلول </w:t>
      </w:r>
      <w:r w:rsidRPr="006C0056">
        <w:rPr>
          <w:rFonts w:asciiTheme="minorBidi" w:hAnsiTheme="minorBidi" w:cs="Arial"/>
        </w:rPr>
        <w:t>IoT</w:t>
      </w:r>
      <w:r w:rsidRPr="006C0056">
        <w:rPr>
          <w:rFonts w:asciiTheme="minorBidi" w:hAnsiTheme="minorBidi" w:cs="Arial"/>
          <w:rtl/>
        </w:rPr>
        <w:t>، و58% في المنصات البرمجية. ومع ذلك، لا يزال استخدام الذكاء الاصطناعي والتعلم الآلي قليلًا.</w:t>
      </w:r>
    </w:p>
    <w:p w14:paraId="1BB8D9F0" w14:textId="731BB64D" w:rsidR="006C0056" w:rsidRPr="006C0056" w:rsidRDefault="006C0056" w:rsidP="006C0056">
      <w:pPr>
        <w:bidi/>
        <w:rPr>
          <w:rFonts w:asciiTheme="minorBidi" w:hAnsiTheme="minorBidi"/>
        </w:rPr>
      </w:pPr>
      <w:r w:rsidRPr="006C0056">
        <w:rPr>
          <w:rFonts w:asciiTheme="minorBidi" w:hAnsiTheme="minorBidi" w:cs="Arial"/>
          <w:rtl/>
        </w:rPr>
        <w:t xml:space="preserve">وكان عرض الاستبيان أيضًا فرصة لتوضيح مشروع </w:t>
      </w:r>
      <w:proofErr w:type="spellStart"/>
      <w:r w:rsidRPr="006C0056">
        <w:rPr>
          <w:rFonts w:asciiTheme="minorBidi" w:hAnsiTheme="minorBidi"/>
        </w:rPr>
        <w:t>QuantiFarm</w:t>
      </w:r>
      <w:proofErr w:type="spellEnd"/>
      <w:r w:rsidRPr="006C0056">
        <w:rPr>
          <w:rFonts w:asciiTheme="minorBidi" w:hAnsiTheme="minorBidi" w:cs="Arial"/>
          <w:rtl/>
        </w:rPr>
        <w:t xml:space="preserve"> الأوروبي، الذي يضم 100 من رواد الأعمال الزراعيين و20 دولة لتحليل تأثيرات تقنيات 4.0 على الإيرادات والربحية والبيئة ونوعية حياة المزارعين. لقد سمحت لنا بعض التجارب بتأكيد المزايا التي توفرها إدارة 4.0 للأعمال الزراعية. وقد سجلت معظم الحالات التي تمت دراستها حتى الآن نموا في الإيرادات وفي الوقت نفسه انخفاضا في استهلاك المياه والطاقة والوقود. كما أن التأثير الاجتماعي كبير أيضًا، مع وجود توازن أفضل بين الحياة الخاصة والحياة المهنية.</w:t>
      </w:r>
      <w:r w:rsidR="00793C35">
        <w:rPr>
          <w:rFonts w:asciiTheme="minorBidi" w:hAnsiTheme="minorBidi" w:cs="Arial"/>
        </w:rPr>
        <w:t xml:space="preserve"> </w:t>
      </w:r>
    </w:p>
    <w:p w14:paraId="1D8D93BF" w14:textId="77777777" w:rsidR="006C0056" w:rsidRPr="006C0056" w:rsidRDefault="006C0056" w:rsidP="006C0056">
      <w:pPr>
        <w:bidi/>
        <w:rPr>
          <w:rFonts w:asciiTheme="minorBidi" w:hAnsiTheme="minorBidi"/>
        </w:rPr>
      </w:pPr>
    </w:p>
    <w:p w14:paraId="34B306B3" w14:textId="160EBC19" w:rsidR="006C0056" w:rsidRPr="00CF6AEE" w:rsidRDefault="005339DB" w:rsidP="005339DB">
      <w:pPr>
        <w:bidi/>
        <w:rPr>
          <w:rFonts w:asciiTheme="minorBidi" w:hAnsiTheme="minorBidi"/>
          <w:b/>
          <w:bCs/>
        </w:rPr>
      </w:pPr>
      <w:r w:rsidRPr="00A1237A">
        <w:rPr>
          <w:rFonts w:asciiTheme="minorBidi" w:hAnsiTheme="minorBidi" w:cs="Arial"/>
          <w:b/>
          <w:bCs/>
          <w:i/>
          <w:iCs/>
          <w:rtl/>
        </w:rPr>
        <w:t>بولونيا</w:t>
      </w:r>
      <w:r w:rsidRPr="00A1237A">
        <w:rPr>
          <w:rFonts w:asciiTheme="minorBidi" w:hAnsiTheme="minorBidi" w:cs="Arial" w:hint="cs"/>
          <w:b/>
          <w:bCs/>
          <w:i/>
          <w:iCs/>
          <w:rtl/>
        </w:rPr>
        <w:t xml:space="preserve"> </w:t>
      </w:r>
      <w:r w:rsidRPr="00A1237A">
        <w:rPr>
          <w:rFonts w:asciiTheme="minorBidi" w:hAnsiTheme="minorBidi" w:cs="Arial"/>
          <w:b/>
          <w:bCs/>
          <w:i/>
          <w:iCs/>
          <w:lang w:val="en-GB"/>
        </w:rPr>
        <w:t>Bologna</w:t>
      </w:r>
      <w:r w:rsidRPr="00A1237A">
        <w:rPr>
          <w:rFonts w:asciiTheme="minorBidi" w:hAnsiTheme="minorBidi" w:cs="Arial"/>
          <w:b/>
          <w:bCs/>
          <w:i/>
          <w:iCs/>
          <w:rtl/>
        </w:rPr>
        <w:t>، 7 نوفمبر 2024</w:t>
      </w:r>
    </w:p>
    <w:sectPr w:rsidR="006C0056" w:rsidRPr="00CF6AEE"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C5"/>
    <w:rsid w:val="0004180B"/>
    <w:rsid w:val="003932CA"/>
    <w:rsid w:val="005339DB"/>
    <w:rsid w:val="006C0056"/>
    <w:rsid w:val="00735CBC"/>
    <w:rsid w:val="00793C35"/>
    <w:rsid w:val="00891140"/>
    <w:rsid w:val="00AD45D1"/>
    <w:rsid w:val="00C22CEF"/>
    <w:rsid w:val="00CF6AEE"/>
    <w:rsid w:val="00DD0BC5"/>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9D5D"/>
  <w15:chartTrackingRefBased/>
  <w15:docId w15:val="{67CC58A8-8BB2-467A-8970-E5F5225E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BC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BC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BC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BC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BC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BC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BC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BC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BC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BC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BC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BC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B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B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B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B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B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BC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B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B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BC5"/>
    <w:rPr>
      <w:i/>
      <w:iCs/>
      <w:color w:val="404040" w:themeColor="text1" w:themeTint="BF"/>
    </w:rPr>
  </w:style>
  <w:style w:type="paragraph" w:styleId="Paragrafoelenco">
    <w:name w:val="List Paragraph"/>
    <w:basedOn w:val="Normale"/>
    <w:uiPriority w:val="34"/>
    <w:qFormat/>
    <w:rsid w:val="00DD0BC5"/>
    <w:pPr>
      <w:ind w:left="720"/>
      <w:contextualSpacing/>
    </w:pPr>
  </w:style>
  <w:style w:type="character" w:styleId="Enfasiintensa">
    <w:name w:val="Intense Emphasis"/>
    <w:basedOn w:val="Carpredefinitoparagrafo"/>
    <w:uiPriority w:val="21"/>
    <w:qFormat/>
    <w:rsid w:val="00DD0BC5"/>
    <w:rPr>
      <w:i/>
      <w:iCs/>
      <w:color w:val="2F5496" w:themeColor="accent1" w:themeShade="BF"/>
    </w:rPr>
  </w:style>
  <w:style w:type="paragraph" w:styleId="Citazioneintensa">
    <w:name w:val="Intense Quote"/>
    <w:basedOn w:val="Normale"/>
    <w:next w:val="Normale"/>
    <w:link w:val="CitazioneintensaCarattere"/>
    <w:uiPriority w:val="30"/>
    <w:qFormat/>
    <w:rsid w:val="00DD0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BC5"/>
    <w:rPr>
      <w:i/>
      <w:iCs/>
      <w:color w:val="2F5496" w:themeColor="accent1" w:themeShade="BF"/>
    </w:rPr>
  </w:style>
  <w:style w:type="character" w:styleId="Riferimentointenso">
    <w:name w:val="Intense Reference"/>
    <w:basedOn w:val="Carpredefinitoparagrafo"/>
    <w:uiPriority w:val="32"/>
    <w:qFormat/>
    <w:rsid w:val="00DD0B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244</Words>
  <Characters>1397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4</cp:revision>
  <dcterms:created xsi:type="dcterms:W3CDTF">2024-11-07T21:30:00Z</dcterms:created>
  <dcterms:modified xsi:type="dcterms:W3CDTF">2024-11-08T05:47:00Z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2024-11-07T21:41:24Z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7c67fb8e-21ba-4d0e-97a1-09d36c7b5fd7</vt:lpwstr>
  </property>
  <property fmtid="{D5CDD505-2E9C-101B-9397-08002B2CF9AE}" pid="8" name="MSIP_Label_defa4170-0d19-0005-0004-bc88714345d2_ContentBits">
    <vt:lpwstr>0</vt:lpwstr>
  </property>
</Properties>
</file>